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F7F37" w14:textId="77777777" w:rsidR="0085798E" w:rsidRDefault="0085798E" w:rsidP="00B01D26">
      <w:pPr>
        <w:shd w:val="clear" w:color="auto" w:fill="FFFFFF"/>
        <w:jc w:val="center"/>
        <w:rPr>
          <w:rFonts w:asciiTheme="minorHAnsi" w:hAnsiTheme="minorHAnsi" w:cstheme="minorHAnsi"/>
          <w:b/>
          <w:bCs/>
        </w:rPr>
      </w:pPr>
    </w:p>
    <w:p w14:paraId="501BB710" w14:textId="77777777" w:rsidR="0085798E" w:rsidRDefault="0085798E" w:rsidP="00B01D26">
      <w:pPr>
        <w:shd w:val="clear" w:color="auto" w:fill="FFFFFF"/>
        <w:jc w:val="center"/>
        <w:rPr>
          <w:rFonts w:asciiTheme="minorHAnsi" w:hAnsiTheme="minorHAnsi" w:cstheme="minorHAnsi"/>
          <w:b/>
          <w:bCs/>
        </w:rPr>
      </w:pPr>
    </w:p>
    <w:p w14:paraId="05631341" w14:textId="20E01894"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01371714" w:rsidR="00887F67" w:rsidRDefault="00F54BB9" w:rsidP="006103D3">
      <w:pPr>
        <w:widowControl/>
        <w:autoSpaceDE/>
        <w:autoSpaceDN/>
        <w:adjustRightInd/>
        <w:jc w:val="both"/>
        <w:rPr>
          <w:rFonts w:ascii="Calibri" w:hAnsi="Calibri" w:cs="Arial"/>
          <w:sz w:val="22"/>
          <w:szCs w:val="22"/>
        </w:rPr>
      </w:pPr>
      <w:r w:rsidRPr="00F54BB9">
        <w:rPr>
          <w:rFonts w:ascii="Calibri" w:hAnsi="Calibri" w:cs="Arial"/>
          <w:sz w:val="22"/>
          <w:szCs w:val="22"/>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6103D3" w:rsidRPr="006103D3">
        <w:rPr>
          <w:rFonts w:ascii="Calibri" w:hAnsi="Calibri" w:cs="Arial"/>
          <w:sz w:val="22"/>
          <w:szCs w:val="22"/>
        </w:rPr>
        <w:t>LOTTO 1 CIG B2554D1A71- LOTTO 2 CIG B2554D2B44 -LOTTO 3 CIG B2554D3C17 - LOTTO 4 CIG B2554D4CEA - LOTTO 5 CIG B2554D5DBD -LOTTO 6 CIG B2554D6E90</w:t>
      </w:r>
    </w:p>
    <w:p w14:paraId="0E1D5CD8" w14:textId="77777777" w:rsidR="006103D3" w:rsidRPr="00454ED3" w:rsidRDefault="006103D3" w:rsidP="006103D3">
      <w:pPr>
        <w:widowControl/>
        <w:autoSpaceDE/>
        <w:autoSpaceDN/>
        <w:adjustRightInd/>
        <w:jc w:val="both"/>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sectPr w:rsidR="00F63776" w:rsidRPr="00AB1EBD" w:rsidSect="007D19EC">
      <w:headerReference w:type="default" r:id="rId8"/>
      <w:footerReference w:type="default" r:id="rId9"/>
      <w:pgSz w:w="11906" w:h="16838"/>
      <w:pgMar w:top="1985" w:right="1134" w:bottom="2127" w:left="1134" w:header="11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9FD80" w14:textId="77777777" w:rsidR="00BD17B8" w:rsidRDefault="00BD17B8" w:rsidP="004B17AF">
      <w:r>
        <w:separator/>
      </w:r>
    </w:p>
  </w:endnote>
  <w:endnote w:type="continuationSeparator" w:id="0">
    <w:p w14:paraId="7A1AAFA9" w14:textId="77777777" w:rsidR="00BD17B8" w:rsidRDefault="00BD17B8" w:rsidP="004B17AF">
      <w:r>
        <w:continuationSeparator/>
      </w:r>
    </w:p>
  </w:endnote>
  <w:endnote w:type="continuationNotice" w:id="1">
    <w:p w14:paraId="79E49593" w14:textId="77777777" w:rsidR="006103D3" w:rsidRDefault="00610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E7598" w14:textId="730016C1" w:rsidR="007D19EC" w:rsidRPr="007D19EC" w:rsidRDefault="007D19EC" w:rsidP="007D19EC">
    <w:pPr>
      <w:widowControl/>
      <w:tabs>
        <w:tab w:val="left" w:pos="1395"/>
        <w:tab w:val="center" w:pos="4819"/>
        <w:tab w:val="right" w:pos="9638"/>
      </w:tabs>
      <w:autoSpaceDE/>
      <w:autoSpaceDN/>
      <w:adjustRightInd/>
      <w:ind w:right="360"/>
      <w:rPr>
        <w:sz w:val="18"/>
      </w:rPr>
    </w:pPr>
    <w:r w:rsidRPr="007D19EC">
      <w:rPr>
        <w:sz w:val="18"/>
      </w:rPr>
      <w:tab/>
    </w:r>
    <w:r w:rsidR="00CA10AF" w:rsidRPr="00CA10AF">
      <w:rPr>
        <w:noProof/>
        <w:sz w:val="24"/>
        <w:szCs w:val="24"/>
        <w:lang w:eastAsia="en-GB"/>
      </w:rPr>
      <w:drawing>
        <wp:inline distT="0" distB="0" distL="0" distR="0" wp14:anchorId="6575E4B2" wp14:editId="76D360CB">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35"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9"/>
      <w:gridCol w:w="3315"/>
    </w:tblGrid>
    <w:tr w:rsidR="007D19EC" w:rsidRPr="007D19EC" w14:paraId="5F3F96EE" w14:textId="77777777" w:rsidTr="00501D2C">
      <w:trPr>
        <w:cantSplit/>
        <w:trHeight w:val="688"/>
      </w:trPr>
      <w:tc>
        <w:tcPr>
          <w:tcW w:w="3618" w:type="pct"/>
          <w:tcBorders>
            <w:right w:val="nil"/>
          </w:tcBorders>
          <w:shd w:val="clear" w:color="auto" w:fill="2A65B0"/>
          <w:tcMar>
            <w:left w:w="567" w:type="dxa"/>
            <w:right w:w="340" w:type="dxa"/>
          </w:tcMar>
          <w:vAlign w:val="center"/>
        </w:tcPr>
        <w:p w14:paraId="16420477" w14:textId="77777777" w:rsidR="007D19EC" w:rsidRPr="007D19EC" w:rsidRDefault="007D19EC" w:rsidP="007D19EC">
          <w:pPr>
            <w:widowControl/>
            <w:autoSpaceDE/>
            <w:autoSpaceDN/>
            <w:adjustRightInd/>
            <w:rPr>
              <w:rFonts w:ascii="Titillium Web" w:eastAsia="Calibri" w:hAnsi="Titillium Web"/>
              <w:color w:val="FFFFFF"/>
              <w:sz w:val="16"/>
              <w:szCs w:val="16"/>
              <w:lang w:val="en-US" w:eastAsia="en-US"/>
            </w:rPr>
          </w:pPr>
          <w:r w:rsidRPr="007D19EC">
            <w:rPr>
              <w:rFonts w:ascii="Titillium Web" w:eastAsia="Calibri" w:hAnsi="Titillium Web"/>
              <w:color w:val="FFFFFF"/>
              <w:sz w:val="16"/>
              <w:szCs w:val="16"/>
              <w:lang w:val="en-US" w:eastAsia="en-US"/>
            </w:rPr>
            <w:t>IR0000032 – ITINERIS Italian Integrated Environmental Research Infrastructures System - CUP B53C22002150006</w:t>
          </w:r>
        </w:p>
        <w:p w14:paraId="7DB1FE34" w14:textId="77777777" w:rsidR="007D19EC" w:rsidRPr="007D19EC" w:rsidRDefault="007D19EC" w:rsidP="007D19EC">
          <w:pPr>
            <w:widowControl/>
            <w:autoSpaceDE/>
            <w:autoSpaceDN/>
            <w:adjustRightInd/>
            <w:rPr>
              <w:rFonts w:ascii="Titillium Web" w:eastAsia="Calibri" w:hAnsi="Titillium Web"/>
              <w:color w:val="FFFFFF"/>
              <w:sz w:val="16"/>
              <w:szCs w:val="16"/>
              <w:lang w:eastAsia="en-US"/>
            </w:rPr>
          </w:pPr>
          <w:r w:rsidRPr="007D19EC">
            <w:rPr>
              <w:rFonts w:ascii="Titillium Web" w:eastAsia="Calibri" w:hAnsi="Titillium Web"/>
              <w:color w:val="FFFFFF"/>
              <w:sz w:val="16"/>
              <w:szCs w:val="16"/>
              <w:lang w:eastAsia="en-US"/>
            </w:rPr>
            <w:t xml:space="preserve">Missione 4, “Istruzione e ricerca” - Componente 2, “Dalla ricerca all’impresa” </w:t>
          </w:r>
        </w:p>
        <w:p w14:paraId="3071FAD7" w14:textId="77777777" w:rsidR="007D19EC" w:rsidRPr="007D19EC" w:rsidRDefault="007D19EC" w:rsidP="007D19EC">
          <w:pPr>
            <w:widowControl/>
            <w:autoSpaceDE/>
            <w:autoSpaceDN/>
            <w:adjustRightInd/>
            <w:rPr>
              <w:rFonts w:ascii="Titillium Web" w:eastAsia="Calibri" w:hAnsi="Titillium Web"/>
              <w:color w:val="FFFFFF"/>
              <w:sz w:val="16"/>
              <w:szCs w:val="16"/>
              <w:lang w:eastAsia="en-US"/>
            </w:rPr>
          </w:pPr>
          <w:r w:rsidRPr="007D19EC">
            <w:rPr>
              <w:rFonts w:ascii="Titillium Web" w:eastAsia="Calibri" w:hAnsi="Titillium Web"/>
              <w:color w:val="FFFFFF"/>
              <w:sz w:val="16"/>
              <w:szCs w:val="16"/>
              <w:lang w:eastAsia="en-US"/>
            </w:rPr>
            <w:t>Investimento 3.1, “Fondo per la realizzazione di un sistema integrato di infrastrutture di ricerca e innovazione”</w:t>
          </w:r>
        </w:p>
      </w:tc>
      <w:tc>
        <w:tcPr>
          <w:tcW w:w="1382" w:type="pct"/>
          <w:tcBorders>
            <w:left w:val="nil"/>
            <w:bottom w:val="nil"/>
          </w:tcBorders>
          <w:shd w:val="clear" w:color="auto" w:fill="2A65B0"/>
          <w:vAlign w:val="center"/>
        </w:tcPr>
        <w:p w14:paraId="1FB0DDF4" w14:textId="77777777" w:rsidR="007D19EC" w:rsidRPr="007D19EC" w:rsidRDefault="007D19EC" w:rsidP="007D19EC">
          <w:pPr>
            <w:widowControl/>
            <w:jc w:val="center"/>
            <w:rPr>
              <w:rFonts w:ascii="Titillium Web" w:eastAsia="Calibri" w:hAnsi="Titillium Web" w:cs="BkwnxrHelveticaLTCom"/>
              <w:bCs/>
              <w:i/>
              <w:color w:val="FFFF00"/>
              <w:sz w:val="16"/>
              <w:szCs w:val="16"/>
              <w:lang w:eastAsia="en-US"/>
            </w:rPr>
          </w:pPr>
          <w:r w:rsidRPr="007D19EC">
            <w:rPr>
              <w:rFonts w:ascii="Titillium Web" w:eastAsia="Calibri" w:hAnsi="Titillium Web" w:cs="BkwnxrHelveticaLTCom"/>
              <w:b/>
              <w:bCs/>
              <w:noProof/>
              <w:color w:val="FFFFFF"/>
              <w:sz w:val="28"/>
              <w:szCs w:val="28"/>
              <w:lang w:val="en-US" w:eastAsia="en-US"/>
            </w:rPr>
            <w:drawing>
              <wp:anchor distT="0" distB="0" distL="114300" distR="114300" simplePos="0" relativeHeight="251658242" behindDoc="0" locked="0" layoutInCell="1" allowOverlap="1" wp14:anchorId="258E18A1" wp14:editId="5753AF1B">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40DA9765" w14:textId="1A74CCF6"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1EFE2" w14:textId="77777777" w:rsidR="00BD17B8" w:rsidRDefault="00BD17B8" w:rsidP="004B17AF">
      <w:r>
        <w:separator/>
      </w:r>
    </w:p>
  </w:footnote>
  <w:footnote w:type="continuationSeparator" w:id="0">
    <w:p w14:paraId="3F4FCDCE" w14:textId="77777777" w:rsidR="00BD17B8" w:rsidRDefault="00BD17B8" w:rsidP="004B17AF">
      <w:r>
        <w:continuationSeparator/>
      </w:r>
    </w:p>
  </w:footnote>
  <w:footnote w:type="continuationNotice" w:id="1">
    <w:p w14:paraId="672853DC" w14:textId="77777777" w:rsidR="006103D3" w:rsidRDefault="006103D3"/>
  </w:footnote>
  <w:footnote w:id="2">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3">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6ED18" w14:textId="53226B10" w:rsidR="004507D0" w:rsidRDefault="004507D0" w:rsidP="000B2B18">
    <w:pPr>
      <w:pStyle w:val="Intestazione"/>
      <w:ind w:left="-993"/>
      <w:jc w:val="center"/>
    </w:pPr>
    <w:r>
      <w:rPr>
        <w:noProof/>
      </w:rPr>
      <w:drawing>
        <wp:anchor distT="0" distB="0" distL="114300" distR="114300" simplePos="0" relativeHeight="251658240" behindDoc="1" locked="0" layoutInCell="1" allowOverlap="1" wp14:anchorId="32C144D6" wp14:editId="6A7221DF">
          <wp:simplePos x="0" y="0"/>
          <wp:positionH relativeFrom="page">
            <wp:align>left</wp:align>
          </wp:positionH>
          <wp:positionV relativeFrom="paragraph">
            <wp:posOffset>-73660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4B46B076" w14:textId="4A023E72" w:rsidR="000B2B18" w:rsidRDefault="000B2B18" w:rsidP="000B2B18">
    <w:pPr>
      <w:pStyle w:val="Intestazione"/>
      <w:ind w:left="-993"/>
      <w:jc w:val="center"/>
    </w:pPr>
  </w:p>
  <w:p w14:paraId="517CB24B" w14:textId="77777777" w:rsidR="004507D0" w:rsidRDefault="004507D0" w:rsidP="000B2B18">
    <w:pPr>
      <w:pStyle w:val="Intestazione"/>
      <w:ind w:left="-993"/>
      <w:jc w:val="center"/>
    </w:pPr>
  </w:p>
  <w:p w14:paraId="22568CD6" w14:textId="77777777" w:rsidR="004507D0" w:rsidRDefault="004507D0" w:rsidP="000B2B18">
    <w:pPr>
      <w:pStyle w:val="Intestazione"/>
      <w:ind w:left="-993"/>
      <w:jc w:val="center"/>
    </w:pPr>
  </w:p>
  <w:p w14:paraId="709B9F5B" w14:textId="77777777" w:rsidR="004507D0" w:rsidRDefault="004507D0" w:rsidP="000B2B18">
    <w:pPr>
      <w:pStyle w:val="Intestazione"/>
      <w:ind w:left="-993"/>
      <w:jc w:val="center"/>
    </w:pPr>
  </w:p>
  <w:p w14:paraId="559A8054" w14:textId="77777777" w:rsidR="004507D0" w:rsidRDefault="004507D0" w:rsidP="000B2B18">
    <w:pPr>
      <w:pStyle w:val="Intestazione"/>
      <w:ind w:left="-993"/>
      <w:jc w:val="center"/>
    </w:pPr>
  </w:p>
  <w:p w14:paraId="047E19ED" w14:textId="77777777" w:rsidR="004507D0" w:rsidRDefault="004507D0" w:rsidP="000B2B18">
    <w:pPr>
      <w:pStyle w:val="Intestazione"/>
      <w:ind w:left="-993"/>
      <w:jc w:val="center"/>
    </w:pPr>
  </w:p>
  <w:p w14:paraId="6CC2B87E" w14:textId="044C6B8E" w:rsidR="004507D0" w:rsidRDefault="003F1E5B" w:rsidP="000B2B18">
    <w:pPr>
      <w:pStyle w:val="Intestazione"/>
      <w:ind w:left="-993"/>
      <w:jc w:val="center"/>
    </w:pPr>
    <w:r w:rsidRPr="003F1E5B">
      <w:rPr>
        <w:noProof/>
        <w:sz w:val="24"/>
        <w:szCs w:val="24"/>
        <w:lang w:eastAsia="en-GB"/>
      </w:rPr>
      <w:drawing>
        <wp:anchor distT="0" distB="0" distL="114300" distR="114300" simplePos="0" relativeHeight="251658241" behindDoc="1" locked="0" layoutInCell="1" allowOverlap="1" wp14:anchorId="1C5B56DF" wp14:editId="1C0ADF62">
          <wp:simplePos x="0" y="0"/>
          <wp:positionH relativeFrom="margin">
            <wp:posOffset>243840</wp:posOffset>
          </wp:positionH>
          <wp:positionV relativeFrom="paragraph">
            <wp:posOffset>61595</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B97AF3B" w14:textId="7AC8CC24" w:rsidR="004507D0" w:rsidRDefault="004507D0" w:rsidP="000B2B18">
    <w:pPr>
      <w:pStyle w:val="Intestazione"/>
      <w:ind w:left="-993"/>
      <w:jc w:val="center"/>
    </w:pPr>
  </w:p>
  <w:p w14:paraId="11043679" w14:textId="77777777" w:rsidR="003F1E5B" w:rsidRDefault="003F1E5B" w:rsidP="000B2B18">
    <w:pPr>
      <w:pStyle w:val="Intestazione"/>
      <w:ind w:left="-993"/>
      <w:jc w:val="center"/>
    </w:pPr>
  </w:p>
  <w:p w14:paraId="4EC450D6" w14:textId="77777777" w:rsidR="003F1E5B" w:rsidRDefault="003F1E5B" w:rsidP="000B2B18">
    <w:pPr>
      <w:pStyle w:val="Intestazione"/>
      <w:ind w:left="-993"/>
      <w:jc w:val="center"/>
    </w:pPr>
  </w:p>
  <w:p w14:paraId="5E344983" w14:textId="77777777" w:rsidR="004507D0" w:rsidRDefault="004507D0"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3AFE"/>
    <w:rsid w:val="00317781"/>
    <w:rsid w:val="003316C5"/>
    <w:rsid w:val="003526E0"/>
    <w:rsid w:val="0036621F"/>
    <w:rsid w:val="003A4D70"/>
    <w:rsid w:val="003C22E1"/>
    <w:rsid w:val="003C5A42"/>
    <w:rsid w:val="003E2C47"/>
    <w:rsid w:val="003F1E5B"/>
    <w:rsid w:val="00410519"/>
    <w:rsid w:val="004277D8"/>
    <w:rsid w:val="004507D0"/>
    <w:rsid w:val="00454ED3"/>
    <w:rsid w:val="0046064E"/>
    <w:rsid w:val="00462FC4"/>
    <w:rsid w:val="004B17AF"/>
    <w:rsid w:val="004B54A9"/>
    <w:rsid w:val="004D4970"/>
    <w:rsid w:val="004F4247"/>
    <w:rsid w:val="00503666"/>
    <w:rsid w:val="00516BC4"/>
    <w:rsid w:val="00523A71"/>
    <w:rsid w:val="005411B4"/>
    <w:rsid w:val="005934B3"/>
    <w:rsid w:val="005E5729"/>
    <w:rsid w:val="005F2D81"/>
    <w:rsid w:val="006103D3"/>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3EF7"/>
    <w:rsid w:val="00776AD0"/>
    <w:rsid w:val="00781527"/>
    <w:rsid w:val="007B7C87"/>
    <w:rsid w:val="007D19EC"/>
    <w:rsid w:val="007D5237"/>
    <w:rsid w:val="007E58E6"/>
    <w:rsid w:val="0080052C"/>
    <w:rsid w:val="00804CB5"/>
    <w:rsid w:val="008159D2"/>
    <w:rsid w:val="00826427"/>
    <w:rsid w:val="008472DC"/>
    <w:rsid w:val="00854CFE"/>
    <w:rsid w:val="0085798E"/>
    <w:rsid w:val="0087160D"/>
    <w:rsid w:val="008724A7"/>
    <w:rsid w:val="00875309"/>
    <w:rsid w:val="00887F67"/>
    <w:rsid w:val="008C030F"/>
    <w:rsid w:val="008D5663"/>
    <w:rsid w:val="0093508B"/>
    <w:rsid w:val="00951F5E"/>
    <w:rsid w:val="00981267"/>
    <w:rsid w:val="009A7172"/>
    <w:rsid w:val="009C1FD4"/>
    <w:rsid w:val="009D0458"/>
    <w:rsid w:val="009E08DA"/>
    <w:rsid w:val="009F3AE9"/>
    <w:rsid w:val="009F5043"/>
    <w:rsid w:val="009F54AC"/>
    <w:rsid w:val="00A244F3"/>
    <w:rsid w:val="00A26C32"/>
    <w:rsid w:val="00A361A5"/>
    <w:rsid w:val="00A52DFE"/>
    <w:rsid w:val="00A93505"/>
    <w:rsid w:val="00AA0702"/>
    <w:rsid w:val="00AB10A6"/>
    <w:rsid w:val="00AB1EBD"/>
    <w:rsid w:val="00AB1F47"/>
    <w:rsid w:val="00AB687E"/>
    <w:rsid w:val="00AE54C3"/>
    <w:rsid w:val="00AF4767"/>
    <w:rsid w:val="00B01D26"/>
    <w:rsid w:val="00B140CE"/>
    <w:rsid w:val="00B21E50"/>
    <w:rsid w:val="00B257E3"/>
    <w:rsid w:val="00B33B77"/>
    <w:rsid w:val="00B37951"/>
    <w:rsid w:val="00B51BE3"/>
    <w:rsid w:val="00B762DB"/>
    <w:rsid w:val="00B9602C"/>
    <w:rsid w:val="00BD17B8"/>
    <w:rsid w:val="00BD6C92"/>
    <w:rsid w:val="00C10ED8"/>
    <w:rsid w:val="00C13CFD"/>
    <w:rsid w:val="00C1520A"/>
    <w:rsid w:val="00C51202"/>
    <w:rsid w:val="00C601AF"/>
    <w:rsid w:val="00C85A82"/>
    <w:rsid w:val="00C92352"/>
    <w:rsid w:val="00CA10AF"/>
    <w:rsid w:val="00CA6580"/>
    <w:rsid w:val="00CB4ED5"/>
    <w:rsid w:val="00CE25B1"/>
    <w:rsid w:val="00CE6482"/>
    <w:rsid w:val="00D1392E"/>
    <w:rsid w:val="00D14AB7"/>
    <w:rsid w:val="00D2682A"/>
    <w:rsid w:val="00D3119D"/>
    <w:rsid w:val="00D426E3"/>
    <w:rsid w:val="00D717A4"/>
    <w:rsid w:val="00D97C5D"/>
    <w:rsid w:val="00D97CA6"/>
    <w:rsid w:val="00DA6A41"/>
    <w:rsid w:val="00DB5E28"/>
    <w:rsid w:val="00DE4777"/>
    <w:rsid w:val="00DE6E9C"/>
    <w:rsid w:val="00E027EC"/>
    <w:rsid w:val="00E62B62"/>
    <w:rsid w:val="00EC6AD7"/>
    <w:rsid w:val="00ED43A0"/>
    <w:rsid w:val="00F05960"/>
    <w:rsid w:val="00F21B48"/>
    <w:rsid w:val="00F279D1"/>
    <w:rsid w:val="00F346A0"/>
    <w:rsid w:val="00F52637"/>
    <w:rsid w:val="00F54BB9"/>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251</Words>
  <Characters>1432</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ANTONELLA GORGA</cp:lastModifiedBy>
  <cp:revision>13</cp:revision>
  <dcterms:created xsi:type="dcterms:W3CDTF">2024-02-15T13:03:00Z</dcterms:created>
  <dcterms:modified xsi:type="dcterms:W3CDTF">2024-07-03T13:52:00Z</dcterms:modified>
</cp:coreProperties>
</file>